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7"/>
        <w:gridCol w:w="2605"/>
        <w:gridCol w:w="3763"/>
        <w:tblGridChange w:id="0">
          <w:tblGrid>
            <w:gridCol w:w="3047"/>
            <w:gridCol w:w="2605"/>
            <w:gridCol w:w="3763"/>
          </w:tblGrid>
        </w:tblGridChange>
      </w:tblGrid>
      <w:tr>
        <w:trPr>
          <w:cantSplit w:val="0"/>
          <w:trHeight w:val="110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Bachelor of Optometry (B.OPTOM)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p5iaxdkealru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Sem-II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EI4U8XYFlI8KWi-9550sWoj5wfjmM3S1/view?usp=drive_link" TargetMode="External"/><Relationship Id="rId9" Type="http://schemas.openxmlformats.org/officeDocument/2006/relationships/hyperlink" Target="https://drive.google.com/file/d/10cbjfwnA1_TdUXpeobLlG2oiO-3zWzHP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xACEH23fDSydZfmoLdSIKh9LQ==">CgMxLjAyDmgucDVpYXhka2VhbHJ1OAByITFNZVRhOGo2b0k3aG03S1JDTUFtQlprc0hVQTBHR25BeQ==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