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-460373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in Audiology &amp; Speech Language Pathology       (BASLP),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-1586</wp:posOffset>
              </wp:positionH>
              <wp:positionV relativeFrom="paragraph">
                <wp:posOffset>9798860</wp:posOffset>
              </wp:positionV>
              <wp:extent cx="5614035" cy="194945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4035" cy="1949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x0s43DoH811VUcDHXHVUZxLEZ3LtFRdi/view?usp=drive_link" TargetMode="External"/><Relationship Id="rId9" Type="http://schemas.openxmlformats.org/officeDocument/2006/relationships/hyperlink" Target="https://drive.google.com/file/d/1CSe3eV3INsmejlAVbmilUVbmaylvymod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YI3Nn9fBirYZvtQB0ocNQn7w9A==">CgMxLjAyDWguNnRyNHlydTk3NGc4AHIhMW1id2hOa0NxLVA0MFBHUE56Y05wX0NzOUxnV05vYWtC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