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14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5"/>
        <w:gridCol w:w="2608"/>
        <w:gridCol w:w="3341"/>
        <w:tblGridChange w:id="0">
          <w:tblGrid>
            <w:gridCol w:w="2465"/>
            <w:gridCol w:w="2608"/>
            <w:gridCol w:w="3341"/>
          </w:tblGrid>
        </w:tblGridChange>
      </w:tblGrid>
      <w:tr>
        <w:trPr>
          <w:cantSplit w:val="0"/>
          <w:trHeight w:val="111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1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Bachelor of Business Administration (BBA), Sem-IV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98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qCGl6n9o5opGkKcFvz2QVuF38AIf2ki9/view?usp=drive_link" TargetMode="External"/><Relationship Id="rId9" Type="http://schemas.openxmlformats.org/officeDocument/2006/relationships/hyperlink" Target="https://drive.google.com/file/d/1NtdI2oGKzOXPra07AgCQvBPnbClLCAGk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WimfjAnA0iCSR595nXLRkJvLuQ==">CgMxLjA4AHIhMTlBSHphaXFJcnhvdXY1TUNKX21hQmkyUVU2dFVhMWI4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