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5"/>
        <w:gridCol w:w="2625"/>
        <w:gridCol w:w="3285"/>
        <w:tblGridChange w:id="0">
          <w:tblGrid>
            <w:gridCol w:w="3165"/>
            <w:gridCol w:w="2625"/>
            <w:gridCol w:w="3285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Data Science,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wptvcslee5mk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LibJhHUXXLoDunmLyykJsBqxNoCH-Pv5/view?usp=drive_link" TargetMode="External"/><Relationship Id="rId9" Type="http://schemas.openxmlformats.org/officeDocument/2006/relationships/hyperlink" Target="https://drive.google.com/file/d/1jzxxHeuZRPfOtV2raOnP7e55dz21em1z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2H7pZlCaTQXxiKoCTSsnBvXIA==">CgMxLjAyDmgud3B0dmNzbGVlNW1rOAByITFUVTNTdkY2WHVNdlYtNWJWWXR2VndsUGc2cDRGdkJZZA==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