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1d35"/>
          <w:sz w:val="34"/>
          <w:szCs w:val="3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34"/>
          <w:szCs w:val="34"/>
          <w:highlight w:val="white"/>
          <w:rtl w:val="0"/>
        </w:rPr>
        <w:t xml:space="preserve">Sustainability Report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1d35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83586203"/>
        <w:tag w:val="goog_rdk_0"/>
      </w:sdtPr>
      <w:sdtContent>
        <w:tbl>
          <w:tblPr>
            <w:tblStyle w:val="Table1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95"/>
            <w:gridCol w:w="5460"/>
            <w:gridCol w:w="2025"/>
            <w:tblGridChange w:id="0">
              <w:tblGrid>
                <w:gridCol w:w="2595"/>
                <w:gridCol w:w="5460"/>
                <w:gridCol w:w="20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9" w:lineRule="auto"/>
                  <w:ind w:left="494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Description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4">
                <w:pPr>
                  <w:spacing w:line="251" w:lineRule="auto"/>
                  <w:ind w:left="604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Remarks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5">
                <w:pPr>
                  <w:spacing w:line="251" w:lineRule="auto"/>
                  <w:ind w:left="713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Link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1: No Poverty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0587" cy="1030587"/>
                      <wp:effectExtent b="0" l="0" r="0" t="0"/>
                      <wp:docPr id="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0587" cy="103058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has been empowering rural communities through sustainable livelihood programs:</w:t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Trained 5,000+ farmers in organic and aromatic crop cultivation.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Promotes sustainable livelihoods and self-reliance in rural areas.</w:t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Supports income generation through skill development and entrepreneurship.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Contributes directly to poverty reduction and community resilience.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435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435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435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435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435" w:firstLine="0"/>
                  <w:jc w:val="left"/>
                  <w:rPr>
                    <w:b w:val="1"/>
                  </w:rPr>
                </w:pPr>
                <w:hyperlink r:id="rId8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No Poverty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2: Zero Hunger</w:t>
                </w:r>
              </w:p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33272"/>
                      <wp:effectExtent b="0" l="0" r="0" t="0"/>
                      <wp:docPr id="2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3327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empowers rural farmers by providing training, enhancing yield quality, and promoting food security.</w:t>
                </w:r>
                <w:hyperlink r:id="rId10"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university promotes nutrition and income through sustainable farming practices and direct market linkages, supporting local livelihoods.</w:t>
                </w:r>
                <w:hyperlink r:id="rId11"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Skill-building initiatives from the Rural Development Institute (RDI) also support food sustainability, equipping youth with agricultural and vocational training.</w:t>
                </w:r>
                <w:hyperlink r:id="rId12"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13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Zero Hunger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3: Good Health and Well-being</w:t>
                </w:r>
              </w:p>
              <w:p w:rsidR="00000000" w:rsidDel="00000000" w:rsidP="00000000" w:rsidRDefault="00000000" w:rsidRPr="00000000" w14:paraId="00000021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Himalayan Hospital offers comprehensive healthcare through a 1,200-bed NABH-accredited hospital, AYUSH clinics, and a state-of-the-art Skill &amp; Simulation Centre—the first of its kind in Uttarakhand.</w:t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Promotes holistic health with yoga, lifestyle education, and learning disability support services for children.</w:t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Leads over 50+ funded health research projects and multiple national/international collaborations addressing cancer, NCDs, maternal–child health, and diagnostics.</w:t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Conducts wide-reaching outreach: community health camps, vaccination drives, maternal–child programs, and health education across 60+ medical courses.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15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Good Health and </w:t>
                  </w:r>
                </w:hyperlink>
                <w:r w:rsidDel="00000000" w:rsidR="00000000" w:rsidRPr="00000000">
                  <w:rPr>
                    <w:b w:val="1"/>
                    <w:color w:val="1155cc"/>
                    <w:rtl w:val="0"/>
                  </w:rPr>
                  <w:t xml:space="preserve">Well-being</w:t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16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Certificates of Appreciation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4: Quality Education</w:t>
                </w:r>
              </w:p>
              <w:p w:rsidR="00000000" w:rsidDel="00000000" w:rsidP="00000000" w:rsidRDefault="00000000" w:rsidRPr="00000000" w14:paraId="0000002F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offers inclusive, holistic education from primary to higher levels, integrating modern science with traditional wisdom.</w:t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With 4,743+ skill-oriented courses, adaptive learning, ICT-enabled classrooms, and MOOCs, it fosters lifelong learning.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Scholarships, inclusive infrastructure, and assistive technologies ensure access for all, especially underprivileged and differently-abled students.</w:t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Internships, faculty development, research, and global partnerships enhance competency, employability, and innovation.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18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Quality Education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19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Web link for LMS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5: Gender Equality</w:t>
                </w:r>
              </w:p>
              <w:p w:rsidR="00000000" w:rsidDel="00000000" w:rsidP="00000000" w:rsidRDefault="00000000" w:rsidRPr="00000000" w14:paraId="00000043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integrates gender sensitivity across more than 200 courses and conducts regular training for staff and students to challenge stereotypes and biases.</w:t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It ensures a safe, inclusive campus through CCTV surveillance, ICCs, maternity leave, childcare, and sanitary facilities.</w:t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Women’s empowerment is supported via scholarships, research leadership, STEM inclusion, and large-scale outreach in rural health and education.</w:t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Special focus is placed on women's health through breast cancer awareness, menopause clinics, and reproductive care in underserved areas.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21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Gender Equality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22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Internal Complaints Committee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6: Clean Water and Sanitation</w:t>
                </w:r>
              </w:p>
              <w:p w:rsidR="00000000" w:rsidDel="00000000" w:rsidP="00000000" w:rsidRDefault="00000000" w:rsidRPr="00000000" w14:paraId="00000052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ensures sustainable water use through rainwater harvesting, greywater recycling, and groundwater recharge systems across campus.</w:t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It empowers over 550 rural villages through WASH programs, community training, and partnerships under the Jal Jeevan Mission.</w:t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Advanced wastewater treatment, policy-driven management, and innovative patents (e.g., IoT irrigation) reflect its research-driven approach.</w:t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Nationwide capacity-building programs have trained 5,000+ officials and engineers on water supply, aquifer recharge, and sanitation resilience.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24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Clean Water and Sanitation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25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Appreciation letters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7: Affordable and Clean Energy</w:t>
                </w:r>
              </w:p>
              <w:p w:rsidR="00000000" w:rsidDel="00000000" w:rsidP="00000000" w:rsidRDefault="00000000" w:rsidRPr="00000000" w14:paraId="0000005F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powers sustainability through a 2500 kW rooftop solar plant and a campus biogas unit, saving LPG and reducing emissions.</w:t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Implements LED lighting, BLDC fans, BEE-rated appliances, and sensor-based systems to boost energy efficiency.</w:t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Promotes a green campus with electric vehicles, restricted car entry, and eco-friendly landscaping.</w:t>
                </w:r>
              </w:p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Energy awareness and regular environmental audits reinforce its commitment to clean energy and climate action.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27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Affordable and Clean Energy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28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Energy Conservation Practices at SRHU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29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Energy Management Certificate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30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Environmental Audit Certificate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12.6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8: Decent Work and Economic Growth</w:t>
                </w:r>
              </w:p>
              <w:p w:rsidR="00000000" w:rsidDel="00000000" w:rsidP="00000000" w:rsidRDefault="00000000" w:rsidRPr="00000000" w14:paraId="0000006D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9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ensures dignified employment through fair wages, gender equality, healthcare benefits, and anti-discrimination policies.</w:t>
                </w:r>
              </w:p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Promotes entrepreneurship and economic resilience via rural development training, MSME partnerships, and incubation support.</w:t>
                </w:r>
              </w:p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Offers 100+ skill-building programs in sectors like health, agriculture, and IT to enhance youth employability.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32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Decent Work and Economic Growth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1155cc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9: Industry, Innovation, and Infrastructure</w:t>
                </w:r>
              </w:p>
              <w:p w:rsidR="00000000" w:rsidDel="00000000" w:rsidP="00000000" w:rsidRDefault="00000000" w:rsidRPr="00000000" w14:paraId="0000007F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2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promotes innovation through 50+ funded research projects, patents, and an active Institutional Innovation Council.</w:t>
                </w:r>
              </w:p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Strengthens rural infrastructure by training over 6,000 individuals in sanitation, water safety, and agricultural technologies.</w:t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Builds industry-academia linkages through 30+ MoUs, technology transfer, and vocational labs for real-world problem solving.</w:t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Champions inclusive infrastructure with accessible buildings, clean energy systems, and ICT-enabled smart classrooms.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34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Industry, Innovation and Infrastructure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35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Incubation Center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rPr>
                    <w:b w:val="1"/>
                  </w:rPr>
                </w:pPr>
                <w:hyperlink r:id="rId36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Sample Report on Awareness Session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10: Reduced Inequalities</w:t>
                </w:r>
              </w:p>
              <w:p w:rsidR="00000000" w:rsidDel="00000000" w:rsidP="00000000" w:rsidRDefault="00000000" w:rsidRPr="00000000" w14:paraId="0000008F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promotes equity through scholarships, fee waivers, and inclusive education for economically and socially disadvantaged groups.</w:t>
                </w:r>
              </w:p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Offers special support for differently-abled students—ranging from assistive devices to inclusive infrastructure and career services.</w:t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Fosters diversity via cultural celebrations, student clubs like </w:t>
                </w:r>
                <w:r w:rsidDel="00000000" w:rsidR="00000000" w:rsidRPr="00000000">
                  <w:rPr>
                    <w:rtl w:val="0"/>
                  </w:rPr>
                  <w:t xml:space="preserve">YOUNITE</w:t>
                </w:r>
                <w:r w:rsidDel="00000000" w:rsidR="00000000" w:rsidRPr="00000000">
                  <w:rPr>
                    <w:rtl w:val="0"/>
                  </w:rPr>
                  <w:t xml:space="preserve">, and a curriculum focused on empathy, social equity, and accessibility.</w:t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Impactful research and outreach address systemic barriers in healthcare, education, and employment for marginalised communities.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38">
                  <w:r w:rsidDel="00000000" w:rsidR="00000000" w:rsidRPr="00000000">
                    <w:rPr>
                      <w:b w:val="1"/>
                      <w:color w:val="1155cc"/>
                      <w:u w:val="single"/>
                      <w:rtl w:val="0"/>
                    </w:rPr>
                    <w:t xml:space="preserve">Reduced Inequalities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39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YOUNITE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11: Sustainable Cities and Communities</w:t>
                </w:r>
              </w:p>
              <w:p w:rsidR="00000000" w:rsidDel="00000000" w:rsidP="00000000" w:rsidRDefault="00000000" w:rsidRPr="00000000" w14:paraId="0000009E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4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maintains a green, inclusive campus—plastic-free, disability-friendly, and rich in biodiversity with over 5,000 trees.</w:t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Promotes community resilience through outreach programs in sanitation, safe housing, telemedicine, and disaster preparedness.</w:t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Drives sustainability via solid waste management, low-emission transport, and renewable energy infrastructure.</w:t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Conducts research and training for government officials and engineers on sustainable urban planning and water-safe infrastructure.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41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Sustainable Cities and Communities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42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Green Audit Certificate</w:t>
                  </w:r>
                </w:hyperlink>
                <w:r w:rsidDel="00000000" w:rsidR="00000000" w:rsidRPr="00000000">
                  <w:rPr>
                    <w:b w:val="1"/>
                    <w:color w:val="9900ff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12: Responsible Consumption and Production</w:t>
                </w:r>
              </w:p>
              <w:p w:rsidR="00000000" w:rsidDel="00000000" w:rsidP="00000000" w:rsidRDefault="00000000" w:rsidRPr="00000000" w14:paraId="000000AD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4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integrates sustainability into campus life through efficient waste management, solar energy, rainwater harvesting, and recycling systems.</w:t>
                </w:r>
              </w:p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Promotes responsible practices among students and staff via green curricula, LED lighting, BLDC fans, and zero-plastic initiatives.</w:t>
                </w:r>
              </w:p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Leads impactful research in water conservation, climate-smart technologies, and circular economy innovations like biogas and e-waste recycling.</w:t>
                </w:r>
              </w:p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Certified for ISO 14001 and 50001, SRHU sets benchmarks in sustainable infrastructure and eco-conscious operations.</w:t>
                </w:r>
              </w:p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44">
                  <w:r w:rsidDel="00000000" w:rsidR="00000000" w:rsidRPr="00000000">
                    <w:rPr>
                      <w:b w:val="1"/>
                      <w:color w:val="1155cc"/>
                      <w:u w:val="single"/>
                      <w:rtl w:val="0"/>
                    </w:rPr>
                    <w:t xml:space="preserve">Responsible Consumption and Production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45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Water conservation practices at SRHU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46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Environment Management Certificate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47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Link for CII certificate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13: Climate Action</w:t>
                </w:r>
              </w:p>
              <w:p w:rsidR="00000000" w:rsidDel="00000000" w:rsidP="00000000" w:rsidRDefault="00000000" w:rsidRPr="00000000" w14:paraId="000000BC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4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Swami Rama Himalayan University actively supports SDG-13 through impactful climate action and sustainability efforts.</w:t>
                </w:r>
              </w:p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campus features solar energy use, rainwater harvesting, waste reduction, and tree plantation drives.</w:t>
                </w:r>
              </w:p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Sustainability is embedded in academics, research, and student engagement, fostering climate awareness and innovation.</w:t>
                </w:r>
              </w:p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Through eco-friendly infrastructure and behavior change campaigns, SRHU sets an example of responsible environmental stewardship.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49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Climate Action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9900ff"/>
                  </w:rPr>
                </w:pPr>
                <w:hyperlink r:id="rId50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Link for certificate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14: Life Below Water</w:t>
                </w:r>
              </w:p>
              <w:p w:rsidR="00000000" w:rsidDel="00000000" w:rsidP="00000000" w:rsidRDefault="00000000" w:rsidRPr="00000000" w14:paraId="000000CE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5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aligns with SDG-14 by promoting conservation of aquatic ecosystems through interdisciplinary education, research, and community outreach.</w:t>
                </w:r>
              </w:p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university tackles challenges like water pollution, overfishing, and habitat loss with research on sustainable aquaculture, pollution mitigation, and biodiversity preservation.</w:t>
                  <w:br w:type="textWrapping"/>
                  <w:t xml:space="preserve">It funds projects and publishes actively on marine sustainability, microplastics, and innovative water management solutions.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52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Life Below Water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15: Life on Land</w:t>
                </w:r>
              </w:p>
              <w:p w:rsidR="00000000" w:rsidDel="00000000" w:rsidP="00000000" w:rsidRDefault="00000000" w:rsidRPr="00000000" w14:paraId="000000DA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5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actively promotes biodiversity, eco-restoration, and sustainable land use through tree plantations, green audits, and rainwater harvesting.</w:t>
                </w:r>
              </w:p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campus boasts over 5,000 trees, solar energy infrastructure, and extensive water and waste management systems supporting ecosystem health.</w:t>
                </w:r>
              </w:p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Programs like plastic-free campus campaigns, e-waste recycling, and energy-efficient buildings underscore SRHU’s green commitment.</w:t>
                </w:r>
              </w:p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Recognised with national awards, SRHU integrates environmental stewardship into academics, community outreach, and daily operations.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54">
                  <w:r w:rsidDel="00000000" w:rsidR="00000000" w:rsidRPr="00000000">
                    <w:rPr>
                      <w:b w:val="1"/>
                      <w:color w:val="1155cc"/>
                      <w:rtl w:val="0"/>
                    </w:rPr>
                    <w:t xml:space="preserve">Life on Land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rPr>
                    <w:b w:val="1"/>
                    <w:color w:val="9900ff"/>
                  </w:rPr>
                </w:pPr>
                <w:hyperlink r:id="rId55">
                  <w:r w:rsidDel="00000000" w:rsidR="00000000" w:rsidRPr="00000000">
                    <w:rPr>
                      <w:b w:val="1"/>
                      <w:color w:val="9900ff"/>
                      <w:rtl w:val="0"/>
                    </w:rPr>
                    <w:t xml:space="preserve">Link for CII Platinum Award certificate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16: Peace, Justice, and Strong Institutions</w:t>
                </w:r>
              </w:p>
              <w:p w:rsidR="00000000" w:rsidDel="00000000" w:rsidP="00000000" w:rsidRDefault="00000000" w:rsidRPr="00000000" w14:paraId="000000EB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5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fosters peace, justice, and strong institutional values through transparent governance, ethical research, and inclusive education policies.</w:t>
                </w:r>
              </w:p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university upholds integrity with strict anti-plagiarism rules, a code of ethics, and zero-tolerance policies on misconduct and harassment.</w:t>
                </w:r>
              </w:p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It actively engages with communities via outreach programs and supports equitable access to education through scholarships and financial aid.</w:t>
                </w:r>
              </w:p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Facilities like the Cadaveric Lab and Skill Simulation Centre promote ethical, skill-based medical training, advancing justice in healthcare delivery.</w:t>
                </w:r>
              </w:p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1155cc"/>
                  </w:rPr>
                </w:pPr>
                <w:hyperlink r:id="rId57">
                  <w:r w:rsidDel="00000000" w:rsidR="00000000" w:rsidRPr="00000000">
                    <w:rPr>
                      <w:b w:val="1"/>
                      <w:color w:val="1155cc"/>
                      <w:u w:val="single"/>
                      <w:rtl w:val="0"/>
                    </w:rPr>
                    <w:t xml:space="preserve">Peace, Justice, and Strong Institutions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  <w:rtl w:val="0"/>
                  </w:rPr>
                  <w:t xml:space="preserve">SDG 17: Partnerships for the Goals</w:t>
                </w:r>
              </w:p>
              <w:p w:rsidR="00000000" w:rsidDel="00000000" w:rsidP="00000000" w:rsidRDefault="00000000" w:rsidRPr="00000000" w14:paraId="000000FA">
                <w:pPr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jc w:val="center"/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1d35"/>
                    <w:sz w:val="24"/>
                    <w:szCs w:val="24"/>
                    <w:highlight w:val="white"/>
                  </w:rPr>
                  <w:drawing>
                    <wp:inline distB="114300" distT="114300" distL="114300" distR="114300">
                      <wp:extent cx="1033272" cy="1027047"/>
                      <wp:effectExtent b="0" l="0" r="0" t="0"/>
                      <wp:docPr id="3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5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3272" cy="1027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SRHU fosters impactful partnerships across academia, government, industry, and international bodies to drive sustainable development and innovation.</w:t>
                </w:r>
              </w:p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The university has trained over 9,000 individuals in water, sanitation, and livelihood programs, and supported 30,000+ people through healthcare and disaster relief efforts.</w:t>
                </w:r>
              </w:p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Through MoUs with institutions like AIIMS, ICMR, IIT Roorkee, and global consortia, SRHU promotes collaborative research and global knowledge exchange.</w:t>
                </w:r>
              </w:p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80" w:right="0" w:hanging="180"/>
                  <w:rPr/>
                </w:pPr>
                <w:r w:rsidDel="00000000" w:rsidR="00000000" w:rsidRPr="00000000">
                  <w:rPr>
                    <w:rtl w:val="0"/>
                  </w:rPr>
                  <w:t xml:space="preserve">Incubation hubs, capacity-building programs, and inclusive community outreach make SRHU a regional leader in achieving SDG-17 and empowering social transformation.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hyperlink r:id="rId59">
                  <w:r w:rsidDel="00000000" w:rsidR="00000000" w:rsidRPr="00000000">
                    <w:rPr>
                      <w:b w:val="1"/>
                      <w:color w:val="1155cc"/>
                      <w:u w:val="single"/>
                      <w:rtl w:val="0"/>
                    </w:rPr>
                    <w:t xml:space="preserve">Partnership for goals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sectPr>
      <w:headerReference r:id="rId60" w:type="default"/>
      <w:pgSz w:h="15840" w:w="12240" w:orient="portrait"/>
      <w:pgMar w:bottom="0" w:top="2120" w:left="1080" w:right="1080" w:header="25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ind w:right="-45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914400" cy="914400"/>
          <wp:effectExtent b="0" l="0" r="0" t="0"/>
          <wp:docPr id="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-276223</wp:posOffset>
          </wp:positionH>
          <wp:positionV relativeFrom="paragraph">
            <wp:posOffset>19052</wp:posOffset>
          </wp:positionV>
          <wp:extent cx="919328" cy="802958"/>
          <wp:effectExtent b="0" l="0" r="0" t="0"/>
          <wp:wrapSquare wrapText="bothSides" distB="114300" distT="114300" distL="114300" distR="114300"/>
          <wp:docPr id="2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14929" l="13083" r="13083" t="13140"/>
                  <a:stretch>
                    <a:fillRect/>
                  </a:stretch>
                </pic:blipFill>
                <pic:spPr>
                  <a:xfrm>
                    <a:off x="0" y="0"/>
                    <a:ext cx="919328" cy="802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Header">
    <w:name w:val="header"/>
    <w:basedOn w:val="Normal"/>
    <w:link w:val="HeaderChar"/>
    <w:uiPriority w:val="99"/>
    <w:unhideWhenUsed w:val="1"/>
    <w:rsid w:val="001D188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1881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1D188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1881"/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393512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60F4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IN" w:val="en-I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A5B27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42" Type="http://schemas.openxmlformats.org/officeDocument/2006/relationships/hyperlink" Target="https://drive.google.com/file/d/1jU4k4Saw7AaDrv6SJduJGbymvsUgYby0/view?usp=sharing" TargetMode="External"/><Relationship Id="rId41" Type="http://schemas.openxmlformats.org/officeDocument/2006/relationships/hyperlink" Target="https://drive.google.com/file/d/1mkyVIpzRlnQ7VoDld-lfLtOJnbqEP9Rf/view?usp=sharing" TargetMode="External"/><Relationship Id="rId44" Type="http://schemas.openxmlformats.org/officeDocument/2006/relationships/hyperlink" Target="https://drive.google.com/file/d/1mWzTlORwt60juAOnJlsM5WpoqPA8Gg_H/view?usp=sharing" TargetMode="External"/><Relationship Id="rId43" Type="http://schemas.openxmlformats.org/officeDocument/2006/relationships/image" Target="media/image6.png"/><Relationship Id="rId46" Type="http://schemas.openxmlformats.org/officeDocument/2006/relationships/hyperlink" Target="https://drive.google.com/file/d/1RrcKjgehyKNVLEKJwQ9rDUTYxyNqQZ5J/view?usp=sharing" TargetMode="External"/><Relationship Id="rId45" Type="http://schemas.openxmlformats.org/officeDocument/2006/relationships/hyperlink" Target="https://drive.google.com/file/d/1PfgO-wUxYqngoOQafh3V83TnPqQE0_7o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48" Type="http://schemas.openxmlformats.org/officeDocument/2006/relationships/image" Target="media/image7.png"/><Relationship Id="rId47" Type="http://schemas.openxmlformats.org/officeDocument/2006/relationships/hyperlink" Target="https://drive.google.com/file/d/1lG1T8mYIu-4kUSMZFJ9RGz3pFGEPMFmr/view?usp=sharing" TargetMode="External"/><Relationship Id="rId49" Type="http://schemas.openxmlformats.org/officeDocument/2006/relationships/hyperlink" Target="https://drive.google.com/file/d/1Nu37ALCAtN_2WjIv0ahqEdYpfbD3ec0n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drive.google.com/file/d/1PFIr1fGivqT5OKpLcxHfiF8rvEJN2FVo/view?usp=sharing" TargetMode="External"/><Relationship Id="rId31" Type="http://schemas.openxmlformats.org/officeDocument/2006/relationships/image" Target="media/image16.png"/><Relationship Id="rId30" Type="http://schemas.openxmlformats.org/officeDocument/2006/relationships/hyperlink" Target="https://drive.google.com/file/d/1hQAnE2mC75i_WHASbnIofHspIT5BSbqz/view?usp=sharing" TargetMode="External"/><Relationship Id="rId33" Type="http://schemas.openxmlformats.org/officeDocument/2006/relationships/image" Target="media/image12.png"/><Relationship Id="rId32" Type="http://schemas.openxmlformats.org/officeDocument/2006/relationships/hyperlink" Target="https://drive.google.com/file/d/16iXnRayjGG4wILpSw74tLNxhP8dZjYRy/view?usp=sharing" TargetMode="External"/><Relationship Id="rId35" Type="http://schemas.openxmlformats.org/officeDocument/2006/relationships/hyperlink" Target="https://hcie.srhu.edu.in/events-activities/" TargetMode="External"/><Relationship Id="rId34" Type="http://schemas.openxmlformats.org/officeDocument/2006/relationships/hyperlink" Target="https://drive.google.com/file/d/1PRrB-8khsyqIOvHmLzq_mzBLjfLRvNW4/view?usp=sharing" TargetMode="External"/><Relationship Id="rId37" Type="http://schemas.openxmlformats.org/officeDocument/2006/relationships/image" Target="media/image14.png"/><Relationship Id="rId36" Type="http://schemas.openxmlformats.org/officeDocument/2006/relationships/hyperlink" Target="https://drive.google.com/file/d/1Rfu2H1HXtjqYHlTcYvq8yTCD72rT4oR9/view?usp=sharing" TargetMode="External"/><Relationship Id="rId39" Type="http://schemas.openxmlformats.org/officeDocument/2006/relationships/hyperlink" Target="https://drive.google.com/file/d/1HXH9drwK7WVhW8jgz1GFq0ba0I2455ia/view?usp=sharing" TargetMode="External"/><Relationship Id="rId38" Type="http://schemas.openxmlformats.org/officeDocument/2006/relationships/hyperlink" Target="https://drive.google.com/file/d/18aQPUd107Sh09ZKfyRVrgV3B65GHp_Jn/view?usp=sharing" TargetMode="External"/><Relationship Id="rId20" Type="http://schemas.openxmlformats.org/officeDocument/2006/relationships/image" Target="media/image10.png"/><Relationship Id="rId22" Type="http://schemas.openxmlformats.org/officeDocument/2006/relationships/hyperlink" Target="https://srhu.edu.in/wp-content/uploads/2025/03/Office-Order-102-ICC.pdf" TargetMode="External"/><Relationship Id="rId21" Type="http://schemas.openxmlformats.org/officeDocument/2006/relationships/hyperlink" Target="https://drive.google.com/file/d/1c3o1s2uH3UP0RLLk4FVlgLgY30yExlsd/view?usp=sharing" TargetMode="External"/><Relationship Id="rId24" Type="http://schemas.openxmlformats.org/officeDocument/2006/relationships/hyperlink" Target="https://drive.google.com/file/d/1Q1p-u_WmLNPQB84jMVtG0RfQAONi_UFa/view?usp=sharing" TargetMode="External"/><Relationship Id="rId23" Type="http://schemas.openxmlformats.org/officeDocument/2006/relationships/image" Target="media/image13.png"/><Relationship Id="rId60" Type="http://schemas.openxmlformats.org/officeDocument/2006/relationships/header" Target="header1.xml"/><Relationship Id="rId26" Type="http://schemas.openxmlformats.org/officeDocument/2006/relationships/image" Target="media/image5.png"/><Relationship Id="rId25" Type="http://schemas.openxmlformats.org/officeDocument/2006/relationships/hyperlink" Target="https://drive.google.com/file/d/17rnbR0_IEbXPzErwUh2YND96Rh010Obp/view?usp=sharing" TargetMode="External"/><Relationship Id="rId28" Type="http://schemas.openxmlformats.org/officeDocument/2006/relationships/hyperlink" Target="https://drive.google.com/file/d/1dNHpBOD-efKPSE97gFCgPsbkX_4SZBjO/view?usp=sharing" TargetMode="External"/><Relationship Id="rId27" Type="http://schemas.openxmlformats.org/officeDocument/2006/relationships/hyperlink" Target="https://drive.google.com/file/d/15kb2xRi0s0Ehc0-kwU3KGgIT4QS9nCty/view?usp=sharing" TargetMode="External"/><Relationship Id="rId29" Type="http://schemas.openxmlformats.org/officeDocument/2006/relationships/hyperlink" Target="https://drive.google.com/file/d/1WlKQ0DgrElnTTVJxlVxW3_rJVeafIwm9/view?usp=sharing" TargetMode="External"/><Relationship Id="rId51" Type="http://schemas.openxmlformats.org/officeDocument/2006/relationships/image" Target="media/image1.png"/><Relationship Id="rId50" Type="http://schemas.openxmlformats.org/officeDocument/2006/relationships/hyperlink" Target="https://drive.google.com/file/d/1lG1T8mYIu-4kUSMZFJ9RGz3pFGEPMFmr/view?usp=sharing" TargetMode="External"/><Relationship Id="rId53" Type="http://schemas.openxmlformats.org/officeDocument/2006/relationships/image" Target="media/image18.png"/><Relationship Id="rId52" Type="http://schemas.openxmlformats.org/officeDocument/2006/relationships/hyperlink" Target="https://drive.google.com/file/d/17YdUum1HIv5Y1Eef-IxzhEER4DsSsRZ8/view?usp=sharing" TargetMode="External"/><Relationship Id="rId11" Type="http://schemas.openxmlformats.org/officeDocument/2006/relationships/hyperlink" Target="https://garhwalpost.in/swami-rama-himalayan-university-srhu-jolly-grant-is-well-entrenched-today-on-its-sustainability-journey-after-having-set-up-a-large-network-of-initiatives-over-the-past-many-years/?utm_source=chatgpt.com" TargetMode="External"/><Relationship Id="rId55" Type="http://schemas.openxmlformats.org/officeDocument/2006/relationships/hyperlink" Target="https://drive.google.com/file/d/1lG1T8mYIu-4kUSMZFJ9RGz3pFGEPMFmr/view?usp=sharing" TargetMode="External"/><Relationship Id="rId10" Type="http://schemas.openxmlformats.org/officeDocument/2006/relationships/hyperlink" Target="https://srhu.edu.in/sdg/?utm_source=chatgpt.com" TargetMode="External"/><Relationship Id="rId54" Type="http://schemas.openxmlformats.org/officeDocument/2006/relationships/hyperlink" Target="https://drive.google.com/file/d/1IElGvezHrwZN-ss1Y2xxciYsgC8Fnfe3/view?usp=sharing" TargetMode="External"/><Relationship Id="rId13" Type="http://schemas.openxmlformats.org/officeDocument/2006/relationships/hyperlink" Target="https://drive.google.com/file/d/1Laca4NHeJmcRRkgd9OAWpmaquDmLPBoL/view?usp=sharing" TargetMode="External"/><Relationship Id="rId57" Type="http://schemas.openxmlformats.org/officeDocument/2006/relationships/hyperlink" Target="https://drive.google.com/file/d/14Np624s-Xw6-CCDj1fvIzwQHfY6kGv_p/view?usp=sharing" TargetMode="External"/><Relationship Id="rId12" Type="http://schemas.openxmlformats.org/officeDocument/2006/relationships/hyperlink" Target="https://www.swamiramasociety.org/empowering-rural-youth-integrated-skill-development-courses-for-sustainable-employment-and-community-growth/?utm_source=chatgpt.com" TargetMode="External"/><Relationship Id="rId56" Type="http://schemas.openxmlformats.org/officeDocument/2006/relationships/image" Target="media/image9.png"/><Relationship Id="rId15" Type="http://schemas.openxmlformats.org/officeDocument/2006/relationships/hyperlink" Target="https://drive.google.com/file/d/1FMdTapbBzIP2OdM7XSve7zFy7lTtSfvK/view?usp=sharing" TargetMode="External"/><Relationship Id="rId59" Type="http://schemas.openxmlformats.org/officeDocument/2006/relationships/hyperlink" Target="https://drive.google.com/file/d/14Np624s-Xw6-CCDj1fvIzwQHfY6kGv_p/view?usp=sharing" TargetMode="External"/><Relationship Id="rId14" Type="http://schemas.openxmlformats.org/officeDocument/2006/relationships/image" Target="media/image11.png"/><Relationship Id="rId58" Type="http://schemas.openxmlformats.org/officeDocument/2006/relationships/image" Target="media/image17.png"/><Relationship Id="rId17" Type="http://schemas.openxmlformats.org/officeDocument/2006/relationships/image" Target="media/image19.png"/><Relationship Id="rId16" Type="http://schemas.openxmlformats.org/officeDocument/2006/relationships/hyperlink" Target="https://drive.google.com/file/d/1FTVq5t4TbbcKRj314S47dtjwQlHuEcyH/view?usp=sharing" TargetMode="External"/><Relationship Id="rId19" Type="http://schemas.openxmlformats.org/officeDocument/2006/relationships/hyperlink" Target="https://ums.srhu.edu.in/login.htm;jsessionid=E1D68FA551597D10003AD61943099620" TargetMode="External"/><Relationship Id="rId18" Type="http://schemas.openxmlformats.org/officeDocument/2006/relationships/hyperlink" Target="https://drive.google.com/file/d/1mEWNJ1EWmM5nfvMOezilxp4JazGGzH9r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sKVaivbnlPIAnuKYusSAD9TFQ==">CgMxLjAaHwoBMBIaChgICVIUChJ0YWJsZS51eHE0ZzM1anF2MjY4AHIhMWJFYnhMTi1vUExuaFM1dDF3MF9zV19pWUFfaFZkbFAx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2025-07-18T04:42:00Z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2025-07-18T00:00:00Z</vt:filetime>
  </property>
  <property fmtid="{D5CDD505-2E9C-101B-9397-08002B2CF9AE}" pid="5" name="Producer">
    <vt:lpwstr>3.0.15 (5.1.2)</vt:lpwstr>
  </property>
</Properties>
</file>