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both"/>
        <w:rPr>
          <w:color w:val="000000"/>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52"/>
          <w:szCs w:val="52"/>
          <w:u w:val="none"/>
          <w:shd w:fill="auto" w:val="clear"/>
          <w:vertAlign w:val="baseline"/>
        </w:rPr>
      </w:pPr>
      <w:r w:rsidDel="00000000" w:rsidR="00000000" w:rsidRPr="00000000">
        <w:rPr>
          <w:rFonts w:ascii="Calibri" w:cs="Calibri" w:eastAsia="Calibri" w:hAnsi="Calibri"/>
          <w:b w:val="1"/>
          <w:i w:val="0"/>
          <w:smallCaps w:val="0"/>
          <w:strike w:val="0"/>
          <w:color w:val="000000"/>
          <w:sz w:val="52"/>
          <w:szCs w:val="52"/>
          <w:u w:val="none"/>
          <w:shd w:fill="auto" w:val="clear"/>
          <w:vertAlign w:val="baseline"/>
          <w:rtl w:val="0"/>
        </w:rPr>
        <w:t xml:space="preserve">Swami Rama Himalayan University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52"/>
          <w:szCs w:val="52"/>
          <w:u w:val="none"/>
          <w:shd w:fill="auto" w:val="clear"/>
          <w:vertAlign w:val="baseline"/>
        </w:rPr>
      </w:pPr>
      <w:r w:rsidDel="00000000" w:rsidR="00000000" w:rsidRPr="00000000">
        <w:rPr>
          <w:rFonts w:ascii="Calibri" w:cs="Calibri" w:eastAsia="Calibri" w:hAnsi="Calibri"/>
          <w:b w:val="1"/>
          <w:i w:val="0"/>
          <w:smallCaps w:val="0"/>
          <w:strike w:val="0"/>
          <w:color w:val="000000"/>
          <w:sz w:val="52"/>
          <w:szCs w:val="52"/>
          <w:u w:val="none"/>
          <w:shd w:fill="auto" w:val="clear"/>
          <w:vertAlign w:val="baseline"/>
          <w:rtl w:val="0"/>
        </w:rPr>
        <w:t xml:space="preserve">Curriculum Committee Policy – 2025</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tl w:val="0"/>
        </w:rPr>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6621"/>
        <w:tblGridChange w:id="0">
          <w:tblGrid>
            <w:gridCol w:w="2235"/>
            <w:gridCol w:w="6621"/>
          </w:tblGrid>
        </w:tblGridChange>
      </w:tblGrid>
      <w:tr>
        <w:trPr>
          <w:cantSplit w:val="0"/>
          <w:tblHeader w:val="0"/>
        </w:trPr>
        <w:tc>
          <w:tcPr/>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Policy Name:</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Curriculum Committee Policy – 2025</w:t>
            </w:r>
          </w:p>
        </w:tc>
      </w:tr>
      <w:tr>
        <w:trPr>
          <w:cantSplit w:val="0"/>
          <w:tblHeader w:val="0"/>
        </w:trPr>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Issued by:</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Office of Dean (Academics), Swami Rama Himalayan University</w:t>
            </w:r>
          </w:p>
        </w:tc>
      </w:tr>
      <w:tr>
        <w:trPr>
          <w:cantSplit w:val="0"/>
          <w:tblHeader w:val="0"/>
        </w:trPr>
        <w:tc>
          <w:tcPr/>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Effective From:</w:t>
            </w:r>
          </w:p>
        </w:tc>
        <w:tc>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Version:</w:t>
            </w:r>
          </w:p>
        </w:tc>
        <w:tc>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Approved by:</w:t>
            </w:r>
          </w:p>
        </w:tc>
        <w:tc>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0">
      <w:pPr>
        <w:pStyle w:val="Heading2"/>
        <w:jc w:val="both"/>
        <w:rPr>
          <w:color w:val="000000"/>
          <w:sz w:val="24"/>
          <w:szCs w:val="24"/>
        </w:rPr>
      </w:pPr>
      <w:r w:rsidDel="00000000" w:rsidR="00000000" w:rsidRPr="00000000">
        <w:rPr>
          <w:color w:val="000000"/>
          <w:sz w:val="24"/>
          <w:szCs w:val="24"/>
          <w:rtl w:val="0"/>
        </w:rPr>
        <w:t xml:space="preserve">1. Introduction</w:t>
      </w:r>
    </w:p>
    <w:p w:rsidR="00000000" w:rsidDel="00000000" w:rsidP="00000000" w:rsidRDefault="00000000" w:rsidRPr="00000000" w14:paraId="00000021">
      <w:pPr>
        <w:pStyle w:val="Heading2"/>
        <w:jc w:val="both"/>
        <w:rPr>
          <w:b w:val="0"/>
          <w:color w:val="000000"/>
          <w:sz w:val="24"/>
          <w:szCs w:val="24"/>
        </w:rPr>
      </w:pPr>
      <w:r w:rsidDel="00000000" w:rsidR="00000000" w:rsidRPr="00000000">
        <w:rPr>
          <w:b w:val="0"/>
          <w:color w:val="000000"/>
          <w:sz w:val="24"/>
          <w:szCs w:val="24"/>
          <w:rtl w:val="0"/>
        </w:rPr>
        <w:t xml:space="preserve">The Curriculum Committee shall serve as the apex academic advisory body responsible for the development, revision, monitoring, and quality assurance of all academic curricula across departments and faculties of Swami Rama Himalayan University (SRHU). This committee ensures that all academic programs are aligned with the vision and mission of the university, comply with regulatory standards (UGC, NMC, AICTE, INC, etc.), and meet the academic and professional needs of students and society.</w:t>
      </w:r>
    </w:p>
    <w:p w:rsidR="00000000" w:rsidDel="00000000" w:rsidP="00000000" w:rsidRDefault="00000000" w:rsidRPr="00000000" w14:paraId="00000022">
      <w:pPr>
        <w:pStyle w:val="Heading2"/>
        <w:ind w:firstLine="720"/>
        <w:jc w:val="both"/>
        <w:rPr>
          <w:b w:val="0"/>
          <w:color w:val="000000"/>
          <w:sz w:val="24"/>
          <w:szCs w:val="24"/>
        </w:rPr>
      </w:pPr>
      <w:r w:rsidDel="00000000" w:rsidR="00000000" w:rsidRPr="00000000">
        <w:rPr>
          <w:b w:val="0"/>
          <w:color w:val="000000"/>
          <w:sz w:val="24"/>
          <w:szCs w:val="24"/>
          <w:rtl w:val="0"/>
        </w:rPr>
        <w:t xml:space="preserve">In order to ensure discipline-specific relevance and stakeholder involvement at the grassroots level, each academic department shall constitute a Departmental Curriculum Review Committee (DCRC). These departmental-level subcommittees shall be responsible for initiating curriculum changes, incorporating feedback from stakeholders, and submitting their recommendations to the central Curriculum Committee for review and approval.</w:t>
      </w:r>
    </w:p>
    <w:p w:rsidR="00000000" w:rsidDel="00000000" w:rsidP="00000000" w:rsidRDefault="00000000" w:rsidRPr="00000000" w14:paraId="00000023">
      <w:pPr>
        <w:pStyle w:val="Heading2"/>
        <w:jc w:val="both"/>
        <w:rPr>
          <w:color w:val="000000"/>
          <w:sz w:val="24"/>
          <w:szCs w:val="24"/>
        </w:rPr>
      </w:pPr>
      <w:r w:rsidDel="00000000" w:rsidR="00000000" w:rsidRPr="00000000">
        <w:rPr>
          <w:color w:val="000000"/>
          <w:sz w:val="24"/>
          <w:szCs w:val="24"/>
          <w:rtl w:val="0"/>
        </w:rPr>
        <w:t xml:space="preserve">2. Objectives</w:t>
      </w:r>
    </w:p>
    <w:p w:rsidR="00000000" w:rsidDel="00000000" w:rsidP="00000000" w:rsidRDefault="00000000" w:rsidRPr="00000000" w14:paraId="0000002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outcome-based, student-centric curricula that reflect current knowledge, skills, and societal relevance.</w:t>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facilitate interdisciplinary, skill-based, value-based, and flexible course offerings.</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periodically review and upgrade the curriculum based on feedback, academic innovations, policy changes, and market trends.</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ensure compliance with NEP 2020, UGC Curriculum Frameworks, and professional council regulations.</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foster alumni and employer engagement in curriculum development.</w:t>
      </w:r>
    </w:p>
    <w:p w:rsidR="00000000" w:rsidDel="00000000" w:rsidP="00000000" w:rsidRDefault="00000000" w:rsidRPr="00000000" w14:paraId="00000029">
      <w:pPr>
        <w:pStyle w:val="Heading2"/>
        <w:jc w:val="both"/>
        <w:rPr>
          <w:color w:val="000000"/>
          <w:sz w:val="24"/>
          <w:szCs w:val="24"/>
        </w:rPr>
      </w:pPr>
      <w:r w:rsidDel="00000000" w:rsidR="00000000" w:rsidRPr="00000000">
        <w:rPr>
          <w:color w:val="000000"/>
          <w:sz w:val="24"/>
          <w:szCs w:val="24"/>
          <w:rtl w:val="0"/>
        </w:rPr>
        <w:t xml:space="preserve">3. Composition</w:t>
      </w:r>
    </w:p>
    <w:p w:rsidR="00000000" w:rsidDel="00000000" w:rsidP="00000000" w:rsidRDefault="00000000" w:rsidRPr="00000000" w14:paraId="0000002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Curriculum Committee shall be composed as follows:</w:t>
      </w:r>
    </w:p>
    <w:tbl>
      <w:tblPr>
        <w:tblStyle w:val="Table2"/>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gridCol w:w="5271"/>
        <w:tblGridChange w:id="0">
          <w:tblGrid>
            <w:gridCol w:w="1951"/>
            <w:gridCol w:w="1418"/>
            <w:gridCol w:w="5271"/>
          </w:tblGrid>
        </w:tblGridChange>
      </w:tblGrid>
      <w:tr>
        <w:trPr>
          <w:cantSplit w:val="0"/>
          <w:tblHeader w:val="0"/>
        </w:trPr>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Designation</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Role</w:t>
            </w:r>
          </w:p>
        </w:tc>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w:t>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Dean/Principal</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Chairperson </w:t>
            </w:r>
          </w:p>
        </w:tc>
        <w:tc>
          <w:tcPr/>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Convene meetings, lead curriculum planning, and ensure compliance with policy.</w:t>
            </w:r>
            <w:r w:rsidDel="00000000" w:rsidR="00000000" w:rsidRPr="00000000">
              <w:rPr>
                <w:rtl w:val="0"/>
              </w:rPr>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Senior Faculty Members (2–3)</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Core Members</w:t>
            </w: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Develop course content, propose modifications, lead outcome mapping.</w:t>
            </w: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External Subject Expert (1)</w:t>
            </w: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Co-opted Member</w:t>
            </w: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Provide subject-level benchmarking and insights from academia/industry.</w:t>
            </w:r>
            <w:r w:rsidDel="00000000" w:rsidR="00000000" w:rsidRPr="00000000">
              <w:rPr>
                <w:rtl w:val="0"/>
              </w:rPr>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Student Representative (1)</w:t>
            </w: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Member</w:t>
            </w:r>
            <w:r w:rsidDel="00000000" w:rsidR="00000000" w:rsidRPr="00000000">
              <w:rPr>
                <w:rtl w:val="0"/>
              </w:rPr>
            </w:r>
          </w:p>
        </w:tc>
        <w:tc>
          <w:tcPr/>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Final-year UG or PG student; contribute learner feedback and suggestions.</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Alumni Representative (1)</w:t>
            </w: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Member</w:t>
            </w: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Share real-world applicability of curriculum and suggest enhancements.</w:t>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Nominated Member</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Secretary</w:t>
            </w:r>
            <w:r w:rsidDel="00000000" w:rsidR="00000000" w:rsidRPr="00000000">
              <w:rPr>
                <w:rtl w:val="0"/>
              </w:rPr>
            </w:r>
          </w:p>
        </w:tc>
        <w:tc>
          <w:tcPr/>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Record minutes, coordinate documentation and communication.</w:t>
            </w:r>
          </w:p>
        </w:tc>
      </w:tr>
    </w:tbl>
    <w:p w:rsidR="00000000" w:rsidDel="00000000" w:rsidP="00000000" w:rsidRDefault="00000000" w:rsidRPr="00000000" w14:paraId="00000040">
      <w:pPr>
        <w:pStyle w:val="Heading2"/>
        <w:jc w:val="both"/>
        <w:rPr>
          <w:color w:val="000000"/>
          <w:sz w:val="24"/>
          <w:szCs w:val="24"/>
        </w:rPr>
      </w:pPr>
      <w:r w:rsidDel="00000000" w:rsidR="00000000" w:rsidRPr="00000000">
        <w:rPr>
          <w:color w:val="000000"/>
          <w:sz w:val="24"/>
          <w:szCs w:val="24"/>
          <w:rtl w:val="0"/>
        </w:rPr>
        <w:t xml:space="preserve">4. Terms of Membership</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Faculty, and external members: 3 years.</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and Alumni members: 1 academic year.</w:t>
      </w:r>
    </w:p>
    <w:p w:rsidR="00000000" w:rsidDel="00000000" w:rsidP="00000000" w:rsidRDefault="00000000" w:rsidRPr="00000000" w14:paraId="00000043">
      <w:pPr>
        <w:pStyle w:val="Heading2"/>
        <w:jc w:val="both"/>
        <w:rPr>
          <w:color w:val="000000"/>
          <w:sz w:val="24"/>
          <w:szCs w:val="24"/>
        </w:rPr>
      </w:pPr>
      <w:r w:rsidDel="00000000" w:rsidR="00000000" w:rsidRPr="00000000">
        <w:rPr>
          <w:color w:val="000000"/>
          <w:sz w:val="24"/>
          <w:szCs w:val="24"/>
          <w:rtl w:val="0"/>
        </w:rPr>
        <w:t xml:space="preserve">5. Functions and Responsibilities</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Draft and periodically revise curriculum, course structure, and assessment schemes.</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Define Course Outcomes (COs) and align with Program Outcomes (POs) and Graduate Attributes.</w:t>
      </w:r>
    </w:p>
    <w:p w:rsidR="00000000" w:rsidDel="00000000" w:rsidP="00000000" w:rsidRDefault="00000000" w:rsidRPr="00000000" w14:paraId="0000004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Ensure inclusion of Indian Knowledge Systems, Ethics, Environment, AI, etc., where applicable.</w:t>
      </w:r>
    </w:p>
    <w:p w:rsidR="00000000" w:rsidDel="00000000" w:rsidP="00000000" w:rsidRDefault="00000000" w:rsidRPr="00000000" w14:paraId="0000004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Solicit and analyze feedback from students, alumni, faculty, employers, and academic peers.</w:t>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Propose new courses, electives, value-added courses, or certifications.</w:t>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 records of curriculum changes and ensure proper documentation.</w:t>
      </w:r>
    </w:p>
    <w:p w:rsidR="00000000" w:rsidDel="00000000" w:rsidP="00000000" w:rsidRDefault="00000000" w:rsidRPr="00000000" w14:paraId="0000004A">
      <w:pPr>
        <w:pStyle w:val="Heading2"/>
        <w:jc w:val="both"/>
        <w:rPr>
          <w:color w:val="000000"/>
          <w:sz w:val="24"/>
          <w:szCs w:val="24"/>
        </w:rPr>
      </w:pPr>
      <w:r w:rsidDel="00000000" w:rsidR="00000000" w:rsidRPr="00000000">
        <w:rPr>
          <w:color w:val="000000"/>
          <w:sz w:val="24"/>
          <w:szCs w:val="24"/>
          <w:rtl w:val="0"/>
        </w:rPr>
        <w:t xml:space="preserve">6. Meeting Protocols</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Frequency: Minimum two meetings per academic year.</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Quorum: At least 60% of members must be present, including HoD and one external/student/alumni representative.</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Agenda: Circulated at least 7 working days in advance.</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Minutes: Maintained by Secretary and submitted to Dean (Academics) for record and audit purposes.</w:t>
      </w:r>
    </w:p>
    <w:p w:rsidR="00000000" w:rsidDel="00000000" w:rsidP="00000000" w:rsidRDefault="00000000" w:rsidRPr="00000000" w14:paraId="0000004F">
      <w:pPr>
        <w:pStyle w:val="Heading2"/>
        <w:jc w:val="both"/>
        <w:rPr>
          <w:color w:val="000000"/>
          <w:sz w:val="24"/>
          <w:szCs w:val="24"/>
        </w:rPr>
      </w:pPr>
      <w:r w:rsidDel="00000000" w:rsidR="00000000" w:rsidRPr="00000000">
        <w:rPr>
          <w:color w:val="000000"/>
          <w:sz w:val="24"/>
          <w:szCs w:val="24"/>
          <w:rtl w:val="0"/>
        </w:rPr>
        <w:t xml:space="preserve">7. Decision-Making and Implementation</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decisions to be taken by simple majority.</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Final curriculum decisions shall be ratified by the Board of Studies (BoS) and implemented post-approval.</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approved changes to be included in departmental curriculum documents and shared with Examination Cell and IQAC.</w:t>
      </w:r>
    </w:p>
    <w:p w:rsidR="00000000" w:rsidDel="00000000" w:rsidP="00000000" w:rsidRDefault="00000000" w:rsidRPr="00000000" w14:paraId="00000053">
      <w:pPr>
        <w:pStyle w:val="Heading2"/>
        <w:jc w:val="both"/>
        <w:rPr>
          <w:color w:val="000000"/>
          <w:sz w:val="24"/>
          <w:szCs w:val="24"/>
        </w:rPr>
      </w:pPr>
      <w:r w:rsidDel="00000000" w:rsidR="00000000" w:rsidRPr="00000000">
        <w:rPr>
          <w:color w:val="000000"/>
          <w:sz w:val="24"/>
          <w:szCs w:val="24"/>
          <w:rtl w:val="0"/>
        </w:rPr>
        <w:t xml:space="preserve">8. Monitoring and Evaluation</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DCC shall submit an Annual Departmental Curriculum Report to the Dean (Academics) and IQAC.</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Curriculum updates shall be aligned with student performance, graduate employability, and external feedback.</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Periodic curriculum audits shall be supported by DCC records.</w:t>
      </w:r>
    </w:p>
    <w:p w:rsidR="00000000" w:rsidDel="00000000" w:rsidP="00000000" w:rsidRDefault="00000000" w:rsidRPr="00000000" w14:paraId="00000057">
      <w:pPr>
        <w:pStyle w:val="Heading2"/>
        <w:jc w:val="both"/>
        <w:rPr>
          <w:color w:val="000000"/>
          <w:sz w:val="24"/>
          <w:szCs w:val="24"/>
        </w:rPr>
      </w:pPr>
      <w:r w:rsidDel="00000000" w:rsidR="00000000" w:rsidRPr="00000000">
        <w:rPr>
          <w:color w:val="000000"/>
          <w:sz w:val="24"/>
          <w:szCs w:val="24"/>
          <w:rtl w:val="0"/>
        </w:rPr>
        <w:t xml:space="preserve">9. Policy Review</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policy shall be reviewed every 3 years, or earlier, based on significant academic or regulatory changes.</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Feedback from DCCs, alumni, industry, and students shall be incorporated into future policy updates.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hmsuo9j2tahr" w:id="0"/>
      <w:bookmarkEnd w:id="0"/>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NormalWeb">
    <w:name w:val="Normal (Web)"/>
    <w:basedOn w:val="Normal"/>
    <w:uiPriority w:val="99"/>
    <w:semiHidden w:val="1"/>
    <w:unhideWhenUsed w:val="1"/>
    <w:rsid w:val="00A274D5"/>
    <w:pPr>
      <w:spacing w:after="100" w:afterAutospacing="1" w:before="100" w:beforeAutospacing="1" w:line="240" w:lineRule="auto"/>
    </w:pPr>
    <w:rPr>
      <w:rFonts w:ascii="Times New Roman" w:cs="Times New Roman" w:eastAsia="Times New Roman" w:hAnsi="Times New Roman"/>
      <w:sz w:val="24"/>
      <w:szCs w:val="24"/>
      <w:lang w:eastAsia="en-IN" w:val="en-IN"/>
    </w:r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85.0" w:type="dxa"/>
        <w:left w:w="108.0" w:type="dxa"/>
        <w:bottom w:w="85.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7iYR9yKdYSMSfTc2G5kW7ynYqw==">CgMxLjAyDmguaG1zdW85ajJ0YWhyOAByITFPR0wweW5wWGlFV05Oc3BVbnJzUWtQeV9hbW9KNHlYWg==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